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0020"/>
      </w:tblGrid>
      <w:tr w:rsidR="00341404" w:rsidRPr="00341404" w:rsidTr="00341404">
        <w:trPr>
          <w:trHeight w:val="375"/>
        </w:trPr>
        <w:tc>
          <w:tcPr>
            <w:tcW w:w="10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04" w:rsidRPr="00341404" w:rsidRDefault="00341404" w:rsidP="003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Informacja dodatkowa                                     </w:t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pl-PL"/>
              </w:rPr>
              <w:t xml:space="preserve">  </w:t>
            </w:r>
          </w:p>
        </w:tc>
      </w:tr>
      <w:tr w:rsidR="00341404" w:rsidRPr="00341404" w:rsidTr="0034140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10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Wprowadzenie do sprawozdania finansowego, obejmuje w szczególności: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nazwę jednostki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MIEJSKI OŚRODEK POMOCY SPOŁECZNEJ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siedzibę jednostki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95-035 OZORKÓW UL. STYPUŁKOWSKIEGO 1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adres jednostki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95-035 OZORKÓW UL. STYPUŁKOWSKIEGO 1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podstawowy przedmiot działalności jednostki</w:t>
            </w:r>
          </w:p>
        </w:tc>
      </w:tr>
      <w:tr w:rsidR="00341404" w:rsidRPr="00341404" w:rsidTr="00341404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Jednostka budżetowa gminy - PKD: 8899Z Realizuje zadania z zakresu pomocy społecznej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wskazanie okresu objętego sprawozdaniem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01.01.2020 do 31.12.2020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nie obejmuje danych łącznych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omówienie przyjętych zasad (polityki) rachunkowości, w tym metod wyceny aktywów i pasywów (także amortyzacji)</w:t>
            </w:r>
          </w:p>
        </w:tc>
      </w:tr>
      <w:tr w:rsidR="00341404" w:rsidRPr="00341404" w:rsidTr="00341404">
        <w:trPr>
          <w:trHeight w:val="59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ZASADY POLITYKI RACHUNKOWOŚCI </w:t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Zasady rachunkowości przyjęte przy sporządzaniu sprawozdania finansowego są zgodne z przepisami rachunkowości z uwzględnieniem ustawy o finansach publicznych. 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ZASADY WYCENY AKTYWÓW I PASYWÓW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Środki trwałe i wartości niematerialne i prawne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  <w:t>Środki trwałe wyceniane były według ceny zakupu, ceny nabycia. Wartości niematerialne i prawne wyceniane były według ceny zakupu, ceny nabycia. Składniki majątku o wartości początkowej powyżej 10.000,00 zł  zalicza się do środków trwałych. Odpisy amortyzacyjne dokonuje się metodą liniową.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kładniki majątku o wartości począ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tkowej powyżej 1.000,00 zł zalicza się do pozostałych środków trwałych.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Należności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  <w:t>- w kwocie wyma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ganej zapłaty z zachowaniem ostr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ożności,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Roszczenia i zobowiązania</w:t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 - w kwocie wymaganej zapłaty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Środki pieniężne</w:t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-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 w wartości nominalnej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Wynik finansowy</w:t>
            </w: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-</w:t>
            </w: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w wiarygodnie ustalonej wartości przy zachowaniu zasady memoriału, współmierności, ostrożności i realizacji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inne informacje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Dodatkowe informacje i objaśnienia obejmują w szczególności: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41404" w:rsidRPr="00341404" w:rsidTr="0034140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1.1.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Dane wg załącznika nr 1.1.1, 1.1.2, 1.1.3, 1.1.4, 1.1.5, 1.1.6, 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aktualną wartość rynkową środków trwałych, w tym dóbr kultury – o ile jednostka dysponuje takimi informacjami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dysponuje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dokonano odpisów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1.4.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wartość gruntów użytkowanych wieczyście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dotyczy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1.5.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1.6.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liczbę oraz wartość posiadanych papierów wartościowych, w tym akcji i udziałów oraz dłużnych papierów wartościowych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1.7.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dane o odpisach aktualizujących wartość należności, ze wskazaniem stanu na początek roku obrotowego, zwiększeniach, wykorzystaniu, rozwiązaniu i stanie na koniec roku obrotowego, z uwzględnieniem należności finansowych jednostek samorządu terytorialnego 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wg załącznika nr 1.7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1.8.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1.9.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powyżej 1 roku do 3 lat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powyżej 3 do 5 lat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powyżej 5 lat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1.10.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1.11.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 łączną kwotę zobowiązań zabezpieczonych na majątku jednostki ze wskazaniem charakteru i formy tych zabezpieczeń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1.12.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 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1.13.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1.14.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 łączną kwotę otrzymanych przez jednostkę gwarancji i poręczeń niewykazanych w bilansie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1.15.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 xml:space="preserve">kwotę wypłaconych środków pieniężnych na świadczenia pracownicze 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wg załącznika nr 1.15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1.16.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inne informacje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wysokość odpisów aktualizujących wartość zapasów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2.2.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2.3.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kwotę i charakter poszczególnych pozycji przychodów lub kosztów o nadzwyczajnej wartości lub które wystąpiły incydentalnie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2.4.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2.5.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inne informacje: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wystąpiły</w:t>
            </w:r>
          </w:p>
        </w:tc>
      </w:tr>
      <w:tr w:rsidR="00341404" w:rsidRPr="00341404" w:rsidTr="00341404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341404" w:rsidRPr="00341404" w:rsidTr="0034140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4" w:rsidRPr="00341404" w:rsidRDefault="00341404" w:rsidP="0034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1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Zwrot środków z ZUS w ramach tarczy antykryzysowej związanej z COVID wyniósł 49.950,90</w:t>
            </w:r>
          </w:p>
        </w:tc>
      </w:tr>
    </w:tbl>
    <w:p w:rsidR="004916BA" w:rsidRDefault="00341404"/>
    <w:sectPr w:rsidR="004916BA" w:rsidSect="0034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404"/>
    <w:rsid w:val="00341404"/>
    <w:rsid w:val="00600FEA"/>
    <w:rsid w:val="00A72DFB"/>
    <w:rsid w:val="00C2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1</cp:revision>
  <dcterms:created xsi:type="dcterms:W3CDTF">2021-05-20T11:43:00Z</dcterms:created>
  <dcterms:modified xsi:type="dcterms:W3CDTF">2021-05-20T11:44:00Z</dcterms:modified>
</cp:coreProperties>
</file>